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9F54E2" w14:textId="4429BFFA" w:rsidR="00753237" w:rsidRDefault="00753237" w:rsidP="00753237">
      <w:pPr>
        <w:pStyle w:val="Titre2"/>
        <w:keepNext w:val="0"/>
        <w:numPr>
          <w:ilvl w:val="0"/>
          <w:numId w:val="0"/>
        </w:numPr>
        <w:spacing w:before="0" w:after="0"/>
        <w:ind w:left="567"/>
        <w:rPr>
          <w:color w:val="002060"/>
          <w:sz w:val="36"/>
          <w:szCs w:val="36"/>
        </w:rPr>
      </w:pPr>
      <w:bookmarkStart w:id="0" w:name="_Toc201909308"/>
      <w:r w:rsidRPr="00753237">
        <w:rPr>
          <w:color w:val="002060"/>
          <w:sz w:val="36"/>
          <w:szCs w:val="36"/>
        </w:rPr>
        <w:t xml:space="preserve">Annexe </w:t>
      </w:r>
      <w:r w:rsidR="00427CD3">
        <w:rPr>
          <w:color w:val="002060"/>
          <w:sz w:val="36"/>
          <w:szCs w:val="36"/>
        </w:rPr>
        <w:t>5</w:t>
      </w:r>
      <w:r w:rsidRPr="00753237">
        <w:rPr>
          <w:color w:val="002060"/>
          <w:sz w:val="36"/>
          <w:szCs w:val="36"/>
        </w:rPr>
        <w:t> : Textes réglementaires applicables</w:t>
      </w:r>
      <w:bookmarkEnd w:id="0"/>
      <w:r w:rsidRPr="00753237">
        <w:rPr>
          <w:color w:val="002060"/>
          <w:sz w:val="36"/>
          <w:szCs w:val="36"/>
        </w:rPr>
        <w:t xml:space="preserve"> </w:t>
      </w:r>
    </w:p>
    <w:p w14:paraId="15E9731F" w14:textId="25874BD9" w:rsidR="00753237" w:rsidRPr="00753237" w:rsidRDefault="00753237" w:rsidP="00753237">
      <w:pPr>
        <w:pStyle w:val="Titre2"/>
        <w:keepNext w:val="0"/>
        <w:numPr>
          <w:ilvl w:val="0"/>
          <w:numId w:val="0"/>
        </w:numPr>
        <w:spacing w:before="0" w:after="0"/>
        <w:ind w:left="2124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    </w:t>
      </w:r>
      <w:r w:rsidRPr="00753237">
        <w:rPr>
          <w:color w:val="002060"/>
          <w:sz w:val="24"/>
          <w:szCs w:val="24"/>
        </w:rPr>
        <w:t>(</w:t>
      </w:r>
      <w:r w:rsidR="00843506" w:rsidRPr="00753237">
        <w:rPr>
          <w:color w:val="002060"/>
          <w:sz w:val="24"/>
          <w:szCs w:val="24"/>
        </w:rPr>
        <w:t>Liste</w:t>
      </w:r>
      <w:r w:rsidRPr="00753237">
        <w:rPr>
          <w:color w:val="002060"/>
          <w:sz w:val="24"/>
          <w:szCs w:val="24"/>
        </w:rPr>
        <w:t xml:space="preserve"> non exhaustive)</w:t>
      </w:r>
    </w:p>
    <w:p w14:paraId="6205814F" w14:textId="77777777" w:rsidR="00753237" w:rsidRDefault="00753237" w:rsidP="00753237">
      <w:pPr>
        <w:widowControl/>
        <w:adjustRightInd w:val="0"/>
        <w:rPr>
          <w:rFonts w:asciiTheme="minorHAnsi" w:eastAsiaTheme="minorHAnsi" w:hAnsiTheme="minorHAnsi" w:cstheme="minorHAnsi"/>
          <w:sz w:val="20"/>
          <w:szCs w:val="20"/>
        </w:rPr>
      </w:pPr>
    </w:p>
    <w:p w14:paraId="083E9D21" w14:textId="77777777" w:rsidR="00753237" w:rsidRDefault="00753237" w:rsidP="00753237">
      <w:pPr>
        <w:widowControl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A726BC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</w:rPr>
        <w:t>Prescriptions à observer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:</w:t>
      </w:r>
    </w:p>
    <w:p w14:paraId="651E9DE7" w14:textId="77777777" w:rsidR="00753237" w:rsidRPr="00F16A73" w:rsidRDefault="00753237" w:rsidP="00753237">
      <w:pPr>
        <w:widowControl/>
        <w:adjustRightInd w:val="0"/>
        <w:rPr>
          <w:rFonts w:asciiTheme="minorHAnsi" w:eastAsiaTheme="minorHAnsi" w:hAnsiTheme="minorHAnsi" w:cstheme="minorHAnsi"/>
          <w:sz w:val="20"/>
          <w:szCs w:val="20"/>
        </w:rPr>
      </w:pPr>
    </w:p>
    <w:p w14:paraId="629C997B" w14:textId="56BAF7F0" w:rsidR="00753237" w:rsidRPr="00F16A73" w:rsidRDefault="00753237" w:rsidP="00753237">
      <w:pPr>
        <w:widowControl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L'ensemble de la fourniture, des prestations et des travaux doit être conforme aux prescriptions des décrets,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>arrêt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é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>s, règlements, normalisation et à celles de tous les textes subséquents, en vigueur au premier jour du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>mois d'exécution des travaux, et notamment, sans que cette liste ne soit exhaustive ou limitative :</w:t>
      </w:r>
    </w:p>
    <w:p w14:paraId="2CB8F979" w14:textId="1400161A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A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arrêté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du 3 août 2018 relatif aux prescriptions générales applicables aux installations relevant du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régime de l’enregistrement au titre de rubrique 2910 de la nomenclature des ICPE,</w:t>
      </w:r>
    </w:p>
    <w:p w14:paraId="4F475F1D" w14:textId="0A491414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décret 62-1454 du 14 Novembre 1962, concernant la protection des travailleurs dans les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établissements qui mettent en œuvre des courants électriques.</w:t>
      </w:r>
    </w:p>
    <w:p w14:paraId="4E7D1AD9" w14:textId="5D38999C" w:rsidR="00753237" w:rsidRPr="00BC3680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BC3680">
        <w:rPr>
          <w:rFonts w:asciiTheme="minorHAnsi" w:eastAsiaTheme="minorHAnsi" w:hAnsiTheme="minorHAnsi" w:cstheme="minorHAnsi"/>
          <w:sz w:val="20"/>
          <w:szCs w:val="20"/>
        </w:rPr>
        <w:t>Aux</w:t>
      </w:r>
      <w:r w:rsidR="00753237" w:rsidRPr="00BC3680">
        <w:rPr>
          <w:rFonts w:asciiTheme="minorHAnsi" w:eastAsiaTheme="minorHAnsi" w:hAnsiTheme="minorHAnsi" w:cstheme="minorHAnsi"/>
          <w:sz w:val="20"/>
          <w:szCs w:val="20"/>
        </w:rPr>
        <w:t xml:space="preserve"> dispositions des </w:t>
      </w:r>
      <w:r w:rsidR="00753237" w:rsidRPr="00BC3680">
        <w:rPr>
          <w:rFonts w:ascii="Cambria Math" w:eastAsiaTheme="minorHAnsi" w:hAnsi="Cambria Math" w:cs="Cambria Math"/>
          <w:sz w:val="20"/>
          <w:szCs w:val="20"/>
        </w:rPr>
        <w:t>≪</w:t>
      </w:r>
      <w:r w:rsidR="00753237" w:rsidRPr="00BC3680">
        <w:rPr>
          <w:rFonts w:asciiTheme="minorHAnsi" w:eastAsiaTheme="minorHAnsi" w:hAnsiTheme="minorHAnsi" w:cstheme="minorHAnsi"/>
          <w:sz w:val="20"/>
          <w:szCs w:val="20"/>
        </w:rPr>
        <w:t xml:space="preserve"> Cahiers des charges D.T.U. et règles de calcul D.T.U. publiées par le Centre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BC3680">
        <w:rPr>
          <w:rFonts w:asciiTheme="minorHAnsi" w:eastAsiaTheme="minorHAnsi" w:hAnsiTheme="minorHAnsi" w:cstheme="minorHAnsi"/>
          <w:sz w:val="20"/>
          <w:szCs w:val="20"/>
        </w:rPr>
        <w:t>Scientifique et Technique du Bâtiment.</w:t>
      </w:r>
    </w:p>
    <w:p w14:paraId="307BDFBC" w14:textId="57DC4FF7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Aux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spécifications, règles de normalisation et instructions publiées par l’Association Française de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Normalisation et notamment aux recommandations du fascicule de documentation NF E35-400 de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novembre 1980 relatif aux prescriptions de sécurité pour les installations frigorifiques.</w:t>
      </w:r>
    </w:p>
    <w:p w14:paraId="1B42FBCD" w14:textId="776EF64B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Aux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spécifications, règles de normalisation et instructions publiées par l’Union Technique de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l’électricité.</w:t>
      </w:r>
    </w:p>
    <w:p w14:paraId="73C2AC67" w14:textId="45DA31FE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Aux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conditions imposées par les Compagnies de distribution d’eau, d’électricité,</w:t>
      </w:r>
    </w:p>
    <w:p w14:paraId="0E5CEFD2" w14:textId="08CF64F4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Aux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consignes de montage et d’entretien données par les constructeurs et que le Titulaire doit se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procurer auprès d’eux.</w:t>
      </w:r>
    </w:p>
    <w:p w14:paraId="1E68FD45" w14:textId="6E6B1792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Aux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décrets n°93-40 et n°93-41 du 11 Janvier 1993 relatifs aux travaux de mise en conformité des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équipements de travail.</w:t>
      </w:r>
    </w:p>
    <w:p w14:paraId="3CC8F976" w14:textId="0C0D4CBE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Au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décret n°74-415 du 13 Mai 1974 modifie par le décret n°91-1122 du 25 Octobre 1991 et par le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décret n°96-335 du 18 Avril 1996 relatif au contrôle des émissions polluantes dans l’atmosphère et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à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certaines utilisations de l’Energie thermique.</w:t>
      </w:r>
    </w:p>
    <w:p w14:paraId="051702F5" w14:textId="164FFF50" w:rsidR="00753237" w:rsidRPr="00F16A73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arrêté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du 27 Janvier 1993 relatif </w:t>
      </w:r>
      <w:proofErr w:type="spellStart"/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a</w:t>
      </w:r>
      <w:proofErr w:type="spellEnd"/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l’utilisation des combustibles minéraux solides dans les petites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>installations de combustion.</w:t>
      </w:r>
    </w:p>
    <w:p w14:paraId="5ED9115F" w14:textId="73E6B44F" w:rsidR="00753237" w:rsidRPr="00031C17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A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arrêté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du 23 Janvier 1997 modifie par l’arrêté du 15 Novembre 1999 et par l’arrêté du 24 Janvier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031C17">
        <w:rPr>
          <w:rFonts w:asciiTheme="minorHAnsi" w:eastAsiaTheme="minorHAnsi" w:hAnsiTheme="minorHAnsi" w:cstheme="minorHAnsi"/>
          <w:sz w:val="20"/>
          <w:szCs w:val="20"/>
        </w:rPr>
        <w:t xml:space="preserve">2001, relatif 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>à</w:t>
      </w:r>
      <w:r w:rsidR="00753237"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limitation des bruits émis dans l’environnement par les installations classées pour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031C17">
        <w:rPr>
          <w:rFonts w:asciiTheme="minorHAnsi" w:eastAsiaTheme="minorHAnsi" w:hAnsiTheme="minorHAnsi" w:cstheme="minorHAnsi"/>
          <w:sz w:val="20"/>
          <w:szCs w:val="20"/>
        </w:rPr>
        <w:t>la protection de l’environnement.</w:t>
      </w:r>
    </w:p>
    <w:p w14:paraId="487C5555" w14:textId="3FDB7A4B" w:rsidR="00753237" w:rsidRPr="00031C17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A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arrêté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du 13 Octobre 2000 modifiant l’arrêté du 15 Mars 2000 relatif à l’exploitation des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031C17">
        <w:rPr>
          <w:rFonts w:asciiTheme="minorHAnsi" w:eastAsiaTheme="minorHAnsi" w:hAnsiTheme="minorHAnsi" w:cstheme="minorHAnsi"/>
          <w:sz w:val="20"/>
          <w:szCs w:val="20"/>
        </w:rPr>
        <w:t>équipements sous pression.</w:t>
      </w:r>
    </w:p>
    <w:p w14:paraId="64E28654" w14:textId="35CAE341" w:rsidR="00753237" w:rsidRPr="00031C17" w:rsidRDefault="00843506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A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l’arrêté du 30 Novembre 2005 modifiant l’article 36 de l’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arrêté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du 23 Juin 1978 consacre aux</w:t>
      </w:r>
      <w:r w:rsidR="0075323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753237" w:rsidRPr="00031C17">
        <w:rPr>
          <w:rFonts w:asciiTheme="minorHAnsi" w:eastAsiaTheme="minorHAnsi" w:hAnsiTheme="minorHAnsi" w:cstheme="minorHAnsi"/>
          <w:sz w:val="20"/>
          <w:szCs w:val="20"/>
        </w:rPr>
        <w:t>installations de distribution de l’eau chaude sanitaire.</w:t>
      </w:r>
    </w:p>
    <w:p w14:paraId="6148264C" w14:textId="77777777" w:rsidR="00753237" w:rsidRPr="00F16A73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Décret 2001-1220 du 20 décembre 2001,</w:t>
      </w:r>
    </w:p>
    <w:p w14:paraId="27F20D06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Circulaire DGS/SD5C/SD7A/DESUS/2005/323 du 11 Juillet 2005 relative à la diffusion du guide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d’investigation et d’aide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gestion d’un ou plusieurs cas de légionellose, résulte de la circulaire du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24/04/1997 relative </w:t>
      </w:r>
      <w:proofErr w:type="spellStart"/>
      <w:r w:rsidRPr="00031C17">
        <w:rPr>
          <w:rFonts w:asciiTheme="minorHAnsi" w:eastAsiaTheme="minorHAnsi" w:hAnsiTheme="minorHAnsi" w:cstheme="minorHAnsi"/>
          <w:sz w:val="20"/>
          <w:szCs w:val="20"/>
        </w:rPr>
        <w:t>a</w:t>
      </w:r>
      <w:proofErr w:type="spellEnd"/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surveillance et à la prévention de la légionellose.</w:t>
      </w:r>
    </w:p>
    <w:p w14:paraId="0BEA69BD" w14:textId="76473F7E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Annexe : Le risque </w:t>
      </w:r>
      <w:r w:rsidR="00843506" w:rsidRPr="00F16A73">
        <w:rPr>
          <w:rFonts w:asciiTheme="minorHAnsi" w:eastAsiaTheme="minorHAnsi" w:hAnsiTheme="minorHAnsi" w:cstheme="minorHAnsi"/>
          <w:sz w:val="20"/>
          <w:szCs w:val="20"/>
        </w:rPr>
        <w:t>lié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aux légionnelles – Guide d’investigation et d’aide </w:t>
      </w:r>
      <w:r w:rsidR="00843506" w:rsidRPr="00F16A73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gestion (01 </w:t>
      </w:r>
      <w:r w:rsidR="00843506" w:rsidRPr="00F16A73">
        <w:rPr>
          <w:rFonts w:asciiTheme="minorHAnsi" w:eastAsiaTheme="minorHAnsi" w:hAnsiTheme="minorHAnsi" w:cstheme="minorHAnsi"/>
          <w:sz w:val="20"/>
          <w:szCs w:val="20"/>
        </w:rPr>
        <w:t>juillet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2005, nouvelle version au 11 Juillet 2013).</w:t>
      </w:r>
    </w:p>
    <w:p w14:paraId="3AE720DF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Circulaire interministérielle DGS/SD7A/DCS/DGUHC/DGE/DPPR n°2007-126 du 03 Avril 2007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relative à la mise en œuvre de l’arrêté du 30 Novembre 2005 modifiant l’arrêté du 23 Juin 1978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relatif aux installations fixes destinées au chauffage et </w:t>
      </w:r>
      <w:proofErr w:type="spellStart"/>
      <w:r w:rsidRPr="00031C17">
        <w:rPr>
          <w:rFonts w:asciiTheme="minorHAnsi" w:eastAsiaTheme="minorHAnsi" w:hAnsiTheme="minorHAnsi" w:cstheme="minorHAnsi"/>
          <w:sz w:val="20"/>
          <w:szCs w:val="20"/>
        </w:rPr>
        <w:t>a</w:t>
      </w:r>
      <w:proofErr w:type="spellEnd"/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l’alimentation en eau chaude sanitaire des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bâtiments d’habitation, des locaux de travail ou des locaux recevant du public.</w:t>
      </w:r>
    </w:p>
    <w:p w14:paraId="4FE4E11B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L’arrêté du 03 Mai 2007 relatif aux caractéristiques thermiques et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performance énergétique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des bâtiments existants.</w:t>
      </w:r>
    </w:p>
    <w:p w14:paraId="1A9C9756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décret n°2007-363 du 19 Mars 2007, relatif aux études de faisabilité des approvisionnements en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Energie, aux caractéristiques thermiques et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performance énergétique des bâtiments existants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et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l’affichage du diagnostic de performance énergétique.</w:t>
      </w:r>
    </w:p>
    <w:p w14:paraId="04667F82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Circulaire du 21 Décembre 2010 relative aux missions des agences régionales de sante dans la mise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en œuvre de l’arrêté du 01 février 2010 relatif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surveillance des légionelles dans les installations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de production, de stockage et de distribution d’eau chaude sanitaire.</w:t>
      </w:r>
    </w:p>
    <w:p w14:paraId="6B3659B8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lastRenderedPageBreak/>
        <w:t>Le décret n°2009-1486 du 03 décembre 2009 relatif aux conventions d’utilité sociale des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organismes d’habitation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loyer modère en particulier les modifications du code de la construction :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articles R445-1 et R445-5.</w:t>
      </w:r>
    </w:p>
    <w:p w14:paraId="1F1CCA3A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Le décret n°2010-349 du 31 Mars 2010 relatif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l’inspection des systèmes de climatisation et des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pompes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chaleur réversibles.</w:t>
      </w:r>
    </w:p>
    <w:p w14:paraId="2E86D994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L’arrêté du 16 Avril 2010 relatif </w:t>
      </w:r>
      <w:proofErr w:type="spellStart"/>
      <w:r w:rsidRPr="00F16A73">
        <w:rPr>
          <w:rFonts w:asciiTheme="minorHAnsi" w:eastAsiaTheme="minorHAnsi" w:hAnsiTheme="minorHAnsi" w:cstheme="minorHAnsi"/>
          <w:sz w:val="20"/>
          <w:szCs w:val="20"/>
        </w:rPr>
        <w:t>a</w:t>
      </w:r>
      <w:proofErr w:type="spellEnd"/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l’inspection périodique des systèmes de climatisation et des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pompes à chaleur réversibles dont la puissance frigorifique est supérieure à 12 KW.</w:t>
      </w:r>
    </w:p>
    <w:p w14:paraId="0655D9B0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L’arrêté du 14 Décembre 2011 relatif aux installations d’éclairage de sécurité (en référence 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à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l’arrêté du 26 Février 2003 relatif aux circuits et installations de sécurité).</w:t>
      </w:r>
    </w:p>
    <w:p w14:paraId="268CDD07" w14:textId="77777777" w:rsidR="00753237" w:rsidRPr="00F16A73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code des postes et communications électroniques</w:t>
      </w:r>
    </w:p>
    <w:p w14:paraId="05080FD7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LOI n° 2018-133 du 26 février 2018 portant diverses dispositions d'adaptation au droit de l'Union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européenne dans le domaine de la sécurité (transposition de la directive NIS)</w:t>
      </w:r>
      <w:r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21546AB9" w14:textId="77777777" w:rsidR="00753237" w:rsidRPr="00F16A73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Décret n° 2017-899 du 9 mai 2017 relatif au repérage de l'amiante avant certaines opérations</w:t>
      </w:r>
      <w:r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3E8EF6DA" w14:textId="77777777" w:rsidR="00753237" w:rsidRPr="00F16A73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12 Mars 2012 relatif au stockage des déchets d’amiante.</w:t>
      </w:r>
    </w:p>
    <w:p w14:paraId="0DA0D327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Arrêté du 22 juillet 2021 relatif au repérage de l'amiante avant certaines opérations réalisées dan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s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les installations, structures ou équipements concourant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réalisation ou la mise en œuvre d'une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activité</w:t>
      </w:r>
      <w:r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6DD13D5B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décret n°2011-1460 du 07 Novembre 2011 modifiant les dispositions du code 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l’environnement fixant les modalités du contrôle périodique de certaines catégories d’installations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classées soumises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déclaration et modifiant le décret n°2009-835 du 06 Juillet 2009 relatif au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premier contrôle périodique de certaines catégories d’installations classées soumises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déclaration.</w:t>
      </w:r>
    </w:p>
    <w:p w14:paraId="0F2BC31F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Décret n°2011-1728 du 02 Décembre 2011 relatif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surveillance de la qualité de l’air intérieur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dans certains établissements recevant du public.</w:t>
      </w:r>
    </w:p>
    <w:p w14:paraId="1CE947DE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26 Décembre 2011 relatif aux vérifications ou processus de vérification des installations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électriques ainsi qu’au contenu des rapports correspondants.</w:t>
      </w:r>
    </w:p>
    <w:p w14:paraId="3C76CDB1" w14:textId="2FF685EF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L’arrêté du 01 Juillet 2013 modifiant les </w:t>
      </w:r>
      <w:r w:rsidR="00BC3680">
        <w:rPr>
          <w:rFonts w:asciiTheme="minorHAnsi" w:eastAsiaTheme="minorHAnsi" w:hAnsiTheme="minorHAnsi" w:cstheme="minorHAnsi"/>
          <w:sz w:val="20"/>
          <w:szCs w:val="20"/>
        </w:rPr>
        <w:t>arrêté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>s de prescriptions de générales applicables aux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installations classées soumises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la déclaration sous les rubriques n° 1111, 1136, 1138, 1172, 1173,1435, 1510, 2220, 2351, 2415, 2510, 2562, 2564, 2565, 2710-1, 2710-2, 2711, 2716, 2718, 2781-1,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2791, 2795, 2950.</w:t>
      </w:r>
    </w:p>
    <w:p w14:paraId="34BDC210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30 Octobre 2013 modifiant l’arrêté du 18 décembre 2007 relatif aux études 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faisabilité des approvisionnements en Energie pour les bâtiments neufs et parties nouvelles 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bâtiments et pour les rénovations de certains bâtiments existants en France métropolitaine.</w:t>
      </w:r>
    </w:p>
    <w:p w14:paraId="6ECAB394" w14:textId="77777777" w:rsidR="00753237" w:rsidRPr="00F16A73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décret du 26 Novembre 2012 modifiant la nomenclature des installations classées.</w:t>
      </w:r>
    </w:p>
    <w:p w14:paraId="715837D0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26 Novembre 2012 relatif aux prescriptions générales applicables aux installations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classées relevant du régime de l’enregistrement au titre de la rubrique n°2712-1 (installation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d’entreposage, dépollution, démontage ou découpage de véhicules terrestres hors d’usage) de la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nomenclature des installations classées pour la protection de l’environnement.</w:t>
      </w:r>
    </w:p>
    <w:p w14:paraId="60621AED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13 Décembre 2004, relatif aux installations de refroidissement par dispersion d’eau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dans un flux d’air soumises </w:t>
      </w:r>
      <w:proofErr w:type="spellStart"/>
      <w:r w:rsidRPr="00031C17">
        <w:rPr>
          <w:rFonts w:asciiTheme="minorHAnsi" w:eastAsiaTheme="minorHAnsi" w:hAnsiTheme="minorHAnsi" w:cstheme="minorHAnsi"/>
          <w:sz w:val="20"/>
          <w:szCs w:val="20"/>
        </w:rPr>
        <w:t>a</w:t>
      </w:r>
      <w:proofErr w:type="spellEnd"/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autorisation au titre de la rubrique n°2921, abroge par l’arrêté du 14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Décembre 2013 relatif aux prescriptions générales applicables aux installations relevant du régime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de l’enregistrement au titre de la rubrique n°2921 de la nomenclature des installations classées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pour la protection de l’environnement.</w:t>
      </w:r>
    </w:p>
    <w:p w14:paraId="2EAFD362" w14:textId="6FA2CE56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L’arrêté du 25 Octobre 2012 modifiant l’arrêté du 22 Octobre 2010 relatif </w:t>
      </w:r>
      <w:r w:rsidR="00843506" w:rsidRPr="00F16A73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classification et </w:t>
      </w:r>
      <w:r w:rsidR="00843506" w:rsidRPr="00F16A73">
        <w:rPr>
          <w:rFonts w:asciiTheme="minorHAnsi" w:eastAsiaTheme="minorHAnsi" w:hAnsiTheme="minorHAnsi" w:cstheme="minorHAnsi"/>
          <w:sz w:val="20"/>
          <w:szCs w:val="20"/>
        </w:rPr>
        <w:t>au</w:t>
      </w:r>
      <w:r w:rsidR="00843506">
        <w:rPr>
          <w:rFonts w:asciiTheme="minorHAnsi" w:eastAsiaTheme="minorHAnsi" w:hAnsiTheme="minorHAnsi" w:cstheme="minorHAnsi"/>
          <w:sz w:val="20"/>
          <w:szCs w:val="20"/>
        </w:rPr>
        <w:t>x règles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de construction parasismique applicables aux bâtiments de la classe dite </w:t>
      </w:r>
      <w:r w:rsidRPr="00031C17">
        <w:rPr>
          <w:rFonts w:ascii="Cambria Math" w:eastAsiaTheme="minorHAnsi" w:hAnsi="Cambria Math" w:cs="Cambria Math"/>
          <w:sz w:val="20"/>
          <w:szCs w:val="20"/>
        </w:rPr>
        <w:t>≪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="00843506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risque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normal </w:t>
      </w:r>
      <w:r w:rsidRPr="00031C17">
        <w:rPr>
          <w:rFonts w:ascii="Cambria Math" w:eastAsiaTheme="minorHAnsi" w:hAnsi="Cambria Math" w:cs="Cambria Math"/>
          <w:sz w:val="20"/>
          <w:szCs w:val="20"/>
        </w:rPr>
        <w:t>≫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2A4D35E9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décret n°2003-546 du 24 Juin 2003 : Mission IPRP (Intervenants en Prevention des Risques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Professionnels).</w:t>
      </w:r>
    </w:p>
    <w:p w14:paraId="6F1A0747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La directive n°2010/75/UE du 24 Novembre 2010 relative aux émissions industrielles (prévention et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réduction intégrées de la pollution) (refonte).</w:t>
      </w:r>
    </w:p>
    <w:p w14:paraId="5496349D" w14:textId="77777777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02 Mai 2013 relatif aux définitions, liste et critères de la directive 2010/75/UE du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Parlement Européen et du Conseil du 24 Novembre 2000 relative aux émissions industrielles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(prévention et réduction intégrées de la pollution).</w:t>
      </w:r>
    </w:p>
    <w:p w14:paraId="216D54C3" w14:textId="462C2D40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 du 02 Mai 2013 modifiant l</w:t>
      </w:r>
      <w:r w:rsidRPr="00F16A73">
        <w:rPr>
          <w:rFonts w:ascii="Calibri" w:eastAsiaTheme="minorHAnsi" w:hAnsi="Calibri" w:cs="Calibri"/>
          <w:sz w:val="20"/>
          <w:szCs w:val="20"/>
        </w:rPr>
        <w:t>’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>arrêté du 29 Juin 2004 relatif au bilan de fonctionnement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prévu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 xml:space="preserve"> l’article R.512-45 du code de l’environnement.</w:t>
      </w:r>
    </w:p>
    <w:p w14:paraId="7A597BA0" w14:textId="763BFBB4" w:rsidR="00753237" w:rsidRPr="00031C17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lastRenderedPageBreak/>
        <w:t xml:space="preserve">L’arrêté du 04 Novembre 2010 relatif </w:t>
      </w:r>
      <w:r w:rsidR="009A61A4" w:rsidRPr="00F16A73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prévention des risques accidentels au sein des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031C17">
        <w:rPr>
          <w:rFonts w:asciiTheme="minorHAnsi" w:eastAsiaTheme="minorHAnsi" w:hAnsiTheme="minorHAnsi" w:cstheme="minorHAnsi"/>
          <w:sz w:val="20"/>
          <w:szCs w:val="20"/>
        </w:rPr>
        <w:t>installations classées pour la protection de l’environnement.</w:t>
      </w:r>
    </w:p>
    <w:p w14:paraId="55E8B192" w14:textId="517972CD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L’arrêté du 05 Octobre 2010 modifiant l’arrêté du 10 Mai 2000 relatif </w:t>
      </w:r>
      <w:r w:rsidR="00843506" w:rsidRPr="00F16A73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prévention des accidents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majeurs impliquant des substances ou des préparations dangereuses présentes dans certaines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installations classées pour la protection de l’environnement.</w:t>
      </w:r>
    </w:p>
    <w:p w14:paraId="5AF0FF09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Décret n°2011-1728 du 02 Décembre 2011 relatif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surveillance de la qualité de l’air intérieur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dans certains établissements recevant du public.</w:t>
      </w:r>
    </w:p>
    <w:p w14:paraId="6A74E3AB" w14:textId="5E400061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Décret n°2012-14 du 05 Janvier 2012 relatif </w:t>
      </w:r>
      <w:r w:rsidR="009A61A4" w:rsidRPr="00F16A73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l’évaluation des moyens d’aération et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 la mesure des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polluants effectuée au titre de la surveillance de la qualité de l’air intérieur de certains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établissements recevant du public.</w:t>
      </w:r>
    </w:p>
    <w:p w14:paraId="214F0A70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11 Octobre 2011 relatif aux attestations de prise en compte de la réglementation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thermique et de réalisation d’une étude de faisabilité relative aux approvisionnements en Energie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pour les bâtiments neufs ou les parties nouvelles de bâtiments.</w:t>
      </w:r>
    </w:p>
    <w:p w14:paraId="70503311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26 Octobre 2010 relatif aux caractéristiques thermiques et aux exigences 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performance énergétique des bâtiments nouveaux et des parties nouvelles de bâtiments.</w:t>
      </w:r>
    </w:p>
    <w:p w14:paraId="4FC3FED9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 xml:space="preserve">Le décret n°2012-1530 du 28 Décembre 2012 relatif aux caractéristiques thermiques et 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à </w:t>
      </w:r>
      <w:r w:rsidRPr="00F16A73">
        <w:rPr>
          <w:rFonts w:asciiTheme="minorHAnsi" w:eastAsiaTheme="minorHAnsi" w:hAnsiTheme="minorHAnsi" w:cstheme="minorHAnsi"/>
          <w:sz w:val="20"/>
          <w:szCs w:val="20"/>
        </w:rPr>
        <w:t>la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performance énergétique des constructions de bâtiments.</w:t>
      </w:r>
    </w:p>
    <w:p w14:paraId="2D14A56C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décret n°2013-1121 du 04 Décembre 2013 relatif aux seuils au-delà desquels une personne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morale réalise un audit énergétique.</w:t>
      </w:r>
    </w:p>
    <w:p w14:paraId="0C1AEADE" w14:textId="448D4C98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La norme ISO 50001 du 15 Juin 2011 fondée sur un principe d’amélioration continue qui aide les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 xml:space="preserve">entreprises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 xml:space="preserve"> réduire leurs consommations énergétiques et </w:t>
      </w:r>
      <w:r w:rsidR="009A61A4" w:rsidRPr="0095320B"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 xml:space="preserve"> réaliser des économies significatives.</w:t>
      </w:r>
    </w:p>
    <w:p w14:paraId="7FB0F6D3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La norme NF C 5-100 : réglementé les installations électriques en basse tension : conception,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réalisation, vérification et entretien des installations électriques alimentées sous une tension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électrique au plus égale à 1000 Volts en courant alternatif et a 1500 Volts en courant continu.</w:t>
      </w:r>
    </w:p>
    <w:p w14:paraId="42F9F4FD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La norme FD x 0-000 : concevoir le processus maintenance d’une entreprise industrielle ou 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service en vue de satisfaire ses enjeux techniques et économiques.</w:t>
      </w:r>
    </w:p>
    <w:p w14:paraId="0A385CF7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La DGS n°2002/43 concernant la recherche de légionnelles sur la production et la distribution d’ECS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issue de la circulaire n° DGS/SD7A/SD5C/DHOS/EA n° 2002/243 du 22 Avril 2002 relative à la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prévention du risque lié aux légionelles dans les établissements de santé public.</w:t>
      </w:r>
    </w:p>
    <w:p w14:paraId="2F53150C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La circulaire n° DGS/EA4/2010/448 du 21 Décembre 2010 relative aux missions des Agences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 xml:space="preserve">régionales de sante dans la mise en œuvre de l’arrêté du 01 Février 2010 relatif </w:t>
      </w:r>
      <w:r>
        <w:rPr>
          <w:rFonts w:asciiTheme="minorHAnsi" w:eastAsiaTheme="minorHAnsi" w:hAnsiTheme="minorHAnsi" w:cstheme="minorHAnsi"/>
          <w:sz w:val="20"/>
          <w:szCs w:val="20"/>
        </w:rPr>
        <w:t>à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 xml:space="preserve"> la surveillance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des légionelles dans les installations de production, de stockage et de distribution d’ECS.</w:t>
      </w:r>
    </w:p>
    <w:p w14:paraId="215B325F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L’arrêté du 25 Janvier 2013 relatif à l’éclairage nocturne des bâtiments non résidentiels afin de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limiter les nuisances lumineuses et les consommations d’énergie.</w:t>
      </w:r>
    </w:p>
    <w:p w14:paraId="42A82527" w14:textId="77777777" w:rsidR="00753237" w:rsidRPr="0095320B" w:rsidRDefault="00753237" w:rsidP="00753237">
      <w:pPr>
        <w:pStyle w:val="Paragraphedeliste"/>
        <w:widowControl/>
        <w:numPr>
          <w:ilvl w:val="0"/>
          <w:numId w:val="10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 décret n° 2019-771 du 23 juillet 2019 relatif aux obligations d'actions de réduction de la</w:t>
      </w:r>
      <w:r>
        <w:rPr>
          <w:rFonts w:asciiTheme="minorHAnsi" w:eastAsiaTheme="minorHAnsi" w:hAnsiTheme="minorHAnsi" w:cstheme="minorHAnsi"/>
          <w:sz w:val="20"/>
          <w:szCs w:val="20"/>
        </w:rPr>
        <w:t xml:space="preserve"> </w:t>
      </w:r>
      <w:r w:rsidRPr="0095320B">
        <w:rPr>
          <w:rFonts w:asciiTheme="minorHAnsi" w:eastAsiaTheme="minorHAnsi" w:hAnsiTheme="minorHAnsi" w:cstheme="minorHAnsi"/>
          <w:sz w:val="20"/>
          <w:szCs w:val="20"/>
        </w:rPr>
        <w:t>consommation d’énergie finale dans des bâtiments à usage tertiaire.</w:t>
      </w:r>
    </w:p>
    <w:p w14:paraId="5A26C8DC" w14:textId="0EF430E5" w:rsidR="001C4CD0" w:rsidRPr="001C4CD0" w:rsidRDefault="001C4CD0" w:rsidP="001C4CD0">
      <w:pPr>
        <w:pStyle w:val="Paragraphedeliste"/>
        <w:widowControl/>
        <w:numPr>
          <w:ilvl w:val="0"/>
          <w:numId w:val="11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1C4CD0">
        <w:rPr>
          <w:rFonts w:asciiTheme="minorHAnsi" w:eastAsiaTheme="minorHAnsi" w:hAnsiTheme="minorHAnsi" w:cstheme="minorHAnsi"/>
          <w:sz w:val="20"/>
          <w:szCs w:val="20"/>
        </w:rPr>
        <w:t>Arrêt</w:t>
      </w:r>
      <w:r w:rsidR="009A61A4">
        <w:rPr>
          <w:rFonts w:asciiTheme="minorHAnsi" w:eastAsiaTheme="minorHAnsi" w:hAnsiTheme="minorHAnsi" w:cstheme="minorHAnsi"/>
          <w:sz w:val="20"/>
          <w:szCs w:val="20"/>
        </w:rPr>
        <w:t>é</w:t>
      </w:r>
      <w:r w:rsidRPr="001C4CD0">
        <w:rPr>
          <w:rFonts w:asciiTheme="minorHAnsi" w:eastAsiaTheme="minorHAnsi" w:hAnsiTheme="minorHAnsi" w:cstheme="minorHAnsi"/>
          <w:sz w:val="20"/>
          <w:szCs w:val="20"/>
        </w:rPr>
        <w:t xml:space="preserve"> du 25 Juin 1980, modifié. </w:t>
      </w:r>
    </w:p>
    <w:p w14:paraId="1CF47BB6" w14:textId="77777777" w:rsidR="001C4CD0" w:rsidRPr="001C4CD0" w:rsidRDefault="001C4CD0" w:rsidP="001C4CD0">
      <w:pPr>
        <w:pStyle w:val="Paragraphedeliste"/>
        <w:widowControl/>
        <w:numPr>
          <w:ilvl w:val="0"/>
          <w:numId w:val="11"/>
        </w:numPr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1C4CD0">
        <w:rPr>
          <w:rFonts w:asciiTheme="minorHAnsi" w:eastAsiaTheme="minorHAnsi" w:hAnsiTheme="minorHAnsi" w:cstheme="minorHAnsi"/>
          <w:sz w:val="20"/>
          <w:szCs w:val="20"/>
        </w:rPr>
        <w:t>Code de la construction et de l’habitation ;</w:t>
      </w:r>
    </w:p>
    <w:p w14:paraId="4ABF5F3A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Code du travail articles R4224-17, R 4227-39 et R 4216-30</w:t>
      </w:r>
    </w:p>
    <w:p w14:paraId="2AB513C1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Les normes NF EN en vigueur particulièrement :</w:t>
      </w:r>
    </w:p>
    <w:p w14:paraId="7FC3AB3A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EN 50133-15 / NF C 48-333-1 et son amendement A1 de février 2003 ;</w:t>
      </w:r>
    </w:p>
    <w:p w14:paraId="108CC14A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EN 50130-4 / NF C 48-300-4 ;</w:t>
      </w:r>
    </w:p>
    <w:p w14:paraId="02DFF90C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EN 50130-4A1 / NFC48-300-4A1 ;</w:t>
      </w:r>
    </w:p>
    <w:p w14:paraId="6561E792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EN 50130-4A2 / NF C 48-300-4 A1 ;</w:t>
      </w:r>
    </w:p>
    <w:p w14:paraId="77FDBE4E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EN 50130-5 / NF C48-300-5 ;</w:t>
      </w:r>
    </w:p>
    <w:p w14:paraId="5C7AA740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EN 50131-1 / NFC48-331-1 ;</w:t>
      </w:r>
    </w:p>
    <w:p w14:paraId="686F3843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NF 50133-1 ;</w:t>
      </w:r>
    </w:p>
    <w:p w14:paraId="0DCE3F67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NF 50133-2-1 ;</w:t>
      </w:r>
    </w:p>
    <w:p w14:paraId="3C631CD3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NF 50133- 7 ;</w:t>
      </w:r>
    </w:p>
    <w:p w14:paraId="41558C4A" w14:textId="6CB1E17A" w:rsidR="00753237" w:rsidRPr="00F16A73" w:rsidRDefault="009A61A4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Le</w:t>
      </w:r>
      <w:r w:rsidR="00753237" w:rsidRPr="00F16A73">
        <w:rPr>
          <w:rFonts w:asciiTheme="minorHAnsi" w:eastAsiaTheme="minorHAnsi" w:hAnsiTheme="minorHAnsi" w:cstheme="minorHAnsi"/>
          <w:sz w:val="20"/>
          <w:szCs w:val="20"/>
        </w:rPr>
        <w:t xml:space="preserve"> référentiel technique NF&amp;A2P.</w:t>
      </w:r>
    </w:p>
    <w:p w14:paraId="09F3D139" w14:textId="77777777" w:rsidR="00753237" w:rsidRPr="00F16A73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NF EN 12845 notamment l’annexe M, NF S62-201, NF EN 671-3 et NF S61-759.</w:t>
      </w:r>
    </w:p>
    <w:p w14:paraId="69AE1F1E" w14:textId="77777777" w:rsidR="00753237" w:rsidRDefault="00753237" w:rsidP="00753237">
      <w:pPr>
        <w:pStyle w:val="Paragraphedeliste"/>
        <w:widowControl/>
        <w:numPr>
          <w:ilvl w:val="0"/>
          <w:numId w:val="11"/>
        </w:numPr>
        <w:adjustRightInd w:val="0"/>
        <w:ind w:left="1134"/>
        <w:rPr>
          <w:rFonts w:asciiTheme="minorHAnsi" w:eastAsiaTheme="minorHAnsi" w:hAnsiTheme="minorHAnsi" w:cstheme="minorHAnsi"/>
          <w:sz w:val="20"/>
          <w:szCs w:val="20"/>
        </w:rPr>
      </w:pPr>
      <w:r w:rsidRPr="00F16A73">
        <w:rPr>
          <w:rFonts w:asciiTheme="minorHAnsi" w:eastAsiaTheme="minorHAnsi" w:hAnsiTheme="minorHAnsi" w:cstheme="minorHAnsi"/>
          <w:sz w:val="20"/>
          <w:szCs w:val="20"/>
        </w:rPr>
        <w:t>NFT 90-431</w:t>
      </w:r>
    </w:p>
    <w:p w14:paraId="310F5AE0" w14:textId="1504E9DE" w:rsidR="00EE3D77" w:rsidRDefault="00753237" w:rsidP="009A61A4">
      <w:pPr>
        <w:pStyle w:val="Paragraphedeliste"/>
        <w:widowControl/>
        <w:numPr>
          <w:ilvl w:val="0"/>
          <w:numId w:val="10"/>
        </w:numPr>
        <w:adjustRightInd w:val="0"/>
      </w:pPr>
      <w:r w:rsidRPr="009A61A4">
        <w:rPr>
          <w:rFonts w:asciiTheme="minorHAnsi" w:eastAsiaTheme="minorHAnsi" w:hAnsiTheme="minorHAnsi" w:cstheme="minorHAnsi"/>
          <w:sz w:val="20"/>
          <w:szCs w:val="20"/>
        </w:rPr>
        <w:t>La brochure ED 828 de l’INRS</w:t>
      </w:r>
    </w:p>
    <w:sectPr w:rsidR="00EE3D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5DCCC3F6"/>
    <w:lvl w:ilvl="0">
      <w:start w:val="1"/>
      <w:numFmt w:val="decimal"/>
      <w:pStyle w:val="Titre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1416" w:hanging="708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Titre7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pStyle w:val="Titre8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Titre9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" w15:restartNumberingAfterBreak="0">
    <w:nsid w:val="017B6D3F"/>
    <w:multiLevelType w:val="hybridMultilevel"/>
    <w:tmpl w:val="ABB0FC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835D9"/>
    <w:multiLevelType w:val="hybridMultilevel"/>
    <w:tmpl w:val="20D85B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C4748"/>
    <w:multiLevelType w:val="hybridMultilevel"/>
    <w:tmpl w:val="3664FD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76238">
    <w:abstractNumId w:val="0"/>
  </w:num>
  <w:num w:numId="2" w16cid:durableId="401490166">
    <w:abstractNumId w:val="0"/>
  </w:num>
  <w:num w:numId="3" w16cid:durableId="278530074">
    <w:abstractNumId w:val="0"/>
  </w:num>
  <w:num w:numId="4" w16cid:durableId="1275669059">
    <w:abstractNumId w:val="0"/>
  </w:num>
  <w:num w:numId="5" w16cid:durableId="459038677">
    <w:abstractNumId w:val="0"/>
  </w:num>
  <w:num w:numId="6" w16cid:durableId="2144537395">
    <w:abstractNumId w:val="0"/>
  </w:num>
  <w:num w:numId="7" w16cid:durableId="1519780389">
    <w:abstractNumId w:val="0"/>
  </w:num>
  <w:num w:numId="8" w16cid:durableId="1375152488">
    <w:abstractNumId w:val="0"/>
  </w:num>
  <w:num w:numId="9" w16cid:durableId="330764664">
    <w:abstractNumId w:val="1"/>
  </w:num>
  <w:num w:numId="10" w16cid:durableId="1654682291">
    <w:abstractNumId w:val="2"/>
  </w:num>
  <w:num w:numId="11" w16cid:durableId="163009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237"/>
    <w:rsid w:val="001758A2"/>
    <w:rsid w:val="001C0C89"/>
    <w:rsid w:val="001C4CD0"/>
    <w:rsid w:val="001C7322"/>
    <w:rsid w:val="00292E86"/>
    <w:rsid w:val="00427CD3"/>
    <w:rsid w:val="005E6C8D"/>
    <w:rsid w:val="006619F3"/>
    <w:rsid w:val="00753237"/>
    <w:rsid w:val="007555C1"/>
    <w:rsid w:val="00843506"/>
    <w:rsid w:val="009A61A4"/>
    <w:rsid w:val="00B52B75"/>
    <w:rsid w:val="00BB383C"/>
    <w:rsid w:val="00BC3680"/>
    <w:rsid w:val="00CB009D"/>
    <w:rsid w:val="00E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77C9"/>
  <w15:chartTrackingRefBased/>
  <w15:docId w15:val="{2FBB6EBF-67DA-42C0-A73F-D13B3F6D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3237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paragraph" w:styleId="Titre1">
    <w:name w:val="heading 1"/>
    <w:aliases w:val="Titre 24.1"/>
    <w:basedOn w:val="Normal"/>
    <w:next w:val="Normal"/>
    <w:link w:val="Titre1Car"/>
    <w:qFormat/>
    <w:rsid w:val="00292E86"/>
    <w:pPr>
      <w:keepNext/>
      <w:numPr>
        <w:numId w:val="8"/>
      </w:numPr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aliases w:val="M-Titre 2,M-Titre2,1.1-Titre 2,altb,CHAP2"/>
    <w:basedOn w:val="Normal"/>
    <w:next w:val="Normal"/>
    <w:link w:val="Titre2Car"/>
    <w:qFormat/>
    <w:rsid w:val="00292E86"/>
    <w:pPr>
      <w:keepNext/>
      <w:numPr>
        <w:ilvl w:val="1"/>
        <w:numId w:val="8"/>
      </w:numPr>
      <w:spacing w:before="240" w:after="60"/>
      <w:outlineLvl w:val="1"/>
    </w:pPr>
    <w:rPr>
      <w:b/>
      <w:bCs/>
      <w:i/>
      <w:iCs/>
    </w:rPr>
  </w:style>
  <w:style w:type="paragraph" w:styleId="Titre3">
    <w:name w:val="heading 3"/>
    <w:aliases w:val="Titre trois"/>
    <w:basedOn w:val="Normal"/>
    <w:next w:val="Normal"/>
    <w:link w:val="Titre3Car"/>
    <w:qFormat/>
    <w:rsid w:val="00292E86"/>
    <w:pPr>
      <w:keepNext/>
      <w:spacing w:before="240" w:after="60"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292E86"/>
    <w:pPr>
      <w:keepNext/>
      <w:numPr>
        <w:ilvl w:val="3"/>
        <w:numId w:val="8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link w:val="Titre5Car"/>
    <w:qFormat/>
    <w:rsid w:val="00292E86"/>
    <w:pPr>
      <w:numPr>
        <w:ilvl w:val="4"/>
        <w:numId w:val="8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link w:val="Titre6Car"/>
    <w:qFormat/>
    <w:rsid w:val="00292E86"/>
    <w:pPr>
      <w:numPr>
        <w:ilvl w:val="5"/>
        <w:numId w:val="8"/>
      </w:num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292E86"/>
    <w:pPr>
      <w:numPr>
        <w:ilvl w:val="6"/>
        <w:numId w:val="8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292E86"/>
    <w:pPr>
      <w:numPr>
        <w:ilvl w:val="7"/>
        <w:numId w:val="8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292E86"/>
    <w:pPr>
      <w:numPr>
        <w:ilvl w:val="8"/>
        <w:numId w:val="8"/>
      </w:num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24.1 Car"/>
    <w:link w:val="Titre1"/>
    <w:rsid w:val="00292E86"/>
    <w:rPr>
      <w:b/>
      <w:bCs/>
      <w:kern w:val="28"/>
      <w:sz w:val="28"/>
      <w:szCs w:val="28"/>
      <w:lang w:eastAsia="fr-FR"/>
    </w:rPr>
  </w:style>
  <w:style w:type="character" w:customStyle="1" w:styleId="Titre2Car">
    <w:name w:val="Titre 2 Car"/>
    <w:aliases w:val="M-Titre 2 Car,M-Titre2 Car,1.1-Titre 2 Car,altb Car,CHAP2 Car"/>
    <w:link w:val="Titre2"/>
    <w:rsid w:val="00292E86"/>
    <w:rPr>
      <w:b/>
      <w:bCs/>
      <w:i/>
      <w:iCs/>
      <w:sz w:val="24"/>
      <w:szCs w:val="24"/>
      <w:lang w:eastAsia="fr-FR"/>
    </w:rPr>
  </w:style>
  <w:style w:type="character" w:customStyle="1" w:styleId="Titre3Car">
    <w:name w:val="Titre 3 Car"/>
    <w:aliases w:val="Titre trois Car"/>
    <w:basedOn w:val="Policepardfaut"/>
    <w:link w:val="Titre3"/>
    <w:rsid w:val="00292E86"/>
    <w:rPr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292E86"/>
    <w:rPr>
      <w:b/>
      <w:bCs/>
      <w:i/>
      <w:i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292E86"/>
    <w:rPr>
      <w:rFonts w:ascii="Arial" w:hAnsi="Arial" w:cs="Arial"/>
      <w:sz w:val="22"/>
      <w:szCs w:val="22"/>
      <w:lang w:eastAsia="fr-FR"/>
    </w:rPr>
  </w:style>
  <w:style w:type="character" w:customStyle="1" w:styleId="Titre6Car">
    <w:name w:val="Titre 6 Car"/>
    <w:basedOn w:val="Policepardfaut"/>
    <w:link w:val="Titre6"/>
    <w:rsid w:val="00292E86"/>
    <w:rPr>
      <w:rFonts w:ascii="Arial" w:hAnsi="Arial" w:cs="Arial"/>
      <w:i/>
      <w:iCs/>
      <w:sz w:val="22"/>
      <w:szCs w:val="22"/>
      <w:lang w:eastAsia="fr-FR"/>
    </w:rPr>
  </w:style>
  <w:style w:type="character" w:customStyle="1" w:styleId="Titre7Car">
    <w:name w:val="Titre 7 Car"/>
    <w:basedOn w:val="Policepardfaut"/>
    <w:link w:val="Titre7"/>
    <w:rsid w:val="00292E86"/>
    <w:rPr>
      <w:rFonts w:ascii="Arial" w:hAnsi="Arial" w:cs="Arial"/>
      <w:lang w:eastAsia="fr-FR"/>
    </w:rPr>
  </w:style>
  <w:style w:type="character" w:customStyle="1" w:styleId="Titre8Car">
    <w:name w:val="Titre 8 Car"/>
    <w:basedOn w:val="Policepardfaut"/>
    <w:link w:val="Titre8"/>
    <w:rsid w:val="00292E86"/>
    <w:rPr>
      <w:rFonts w:ascii="Arial" w:hAnsi="Arial" w:cs="Arial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292E86"/>
    <w:rPr>
      <w:rFonts w:ascii="Arial" w:hAnsi="Arial" w:cs="Arial"/>
      <w:i/>
      <w:iCs/>
      <w:sz w:val="18"/>
      <w:szCs w:val="18"/>
      <w:lang w:eastAsia="fr-FR"/>
    </w:rPr>
  </w:style>
  <w:style w:type="paragraph" w:styleId="Titre">
    <w:name w:val="Title"/>
    <w:basedOn w:val="Normal"/>
    <w:next w:val="Normal"/>
    <w:link w:val="TitreCar"/>
    <w:qFormat/>
    <w:rsid w:val="00292E86"/>
    <w:pPr>
      <w:spacing w:before="240" w:after="60"/>
      <w:jc w:val="center"/>
      <w:outlineLvl w:val="0"/>
    </w:pPr>
    <w:rPr>
      <w:rFonts w:ascii="Aptos Display" w:hAnsi="Aptos Display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292E86"/>
    <w:rPr>
      <w:rFonts w:ascii="Aptos Display" w:hAnsi="Aptos Display"/>
      <w:b/>
      <w:bCs/>
      <w:kern w:val="28"/>
      <w:sz w:val="32"/>
      <w:szCs w:val="32"/>
      <w:lang w:eastAsia="fr-FR"/>
    </w:rPr>
  </w:style>
  <w:style w:type="character" w:styleId="lev">
    <w:name w:val="Strong"/>
    <w:uiPriority w:val="22"/>
    <w:qFormat/>
    <w:rsid w:val="00292E86"/>
    <w:rPr>
      <w:b/>
      <w:bCs/>
    </w:rPr>
  </w:style>
  <w:style w:type="paragraph" w:styleId="Paragraphedeliste">
    <w:name w:val="List Paragraph"/>
    <w:aliases w:val="Puces Advenio,AU Puce,Normal1,texte de base,Liste couleur - Accent 11,Para T3"/>
    <w:basedOn w:val="Normal"/>
    <w:link w:val="ParagraphedelisteCar"/>
    <w:uiPriority w:val="34"/>
    <w:qFormat/>
    <w:rsid w:val="00292E86"/>
    <w:pPr>
      <w:ind w:left="708"/>
    </w:pPr>
  </w:style>
  <w:style w:type="paragraph" w:styleId="Sous-titre">
    <w:name w:val="Subtitle"/>
    <w:basedOn w:val="Normal"/>
    <w:next w:val="Normal"/>
    <w:link w:val="Sous-titreCar"/>
    <w:qFormat/>
    <w:rsid w:val="0075323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75323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7532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3237"/>
    <w:rPr>
      <w:i/>
      <w:iCs/>
      <w:color w:val="404040" w:themeColor="text1" w:themeTint="BF"/>
      <w:sz w:val="24"/>
      <w:szCs w:val="24"/>
      <w:lang w:eastAsia="fr-FR"/>
    </w:rPr>
  </w:style>
  <w:style w:type="character" w:styleId="Accentuationintense">
    <w:name w:val="Intense Emphasis"/>
    <w:basedOn w:val="Policepardfaut"/>
    <w:uiPriority w:val="21"/>
    <w:qFormat/>
    <w:rsid w:val="0075323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32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3237"/>
    <w:rPr>
      <w:i/>
      <w:iCs/>
      <w:color w:val="0F4761" w:themeColor="accent1" w:themeShade="BF"/>
      <w:sz w:val="24"/>
      <w:szCs w:val="24"/>
      <w:lang w:eastAsia="fr-FR"/>
    </w:rPr>
  </w:style>
  <w:style w:type="character" w:styleId="Rfrenceintense">
    <w:name w:val="Intense Reference"/>
    <w:basedOn w:val="Policepardfaut"/>
    <w:uiPriority w:val="32"/>
    <w:qFormat/>
    <w:rsid w:val="00753237"/>
    <w:rPr>
      <w:b/>
      <w:bCs/>
      <w:smallCaps/>
      <w:color w:val="0F4761" w:themeColor="accent1" w:themeShade="BF"/>
      <w:spacing w:val="5"/>
    </w:rPr>
  </w:style>
  <w:style w:type="character" w:customStyle="1" w:styleId="ParagraphedelisteCar">
    <w:name w:val="Paragraphe de liste Car"/>
    <w:aliases w:val="Puces Advenio Car,AU Puce Car,Normal1 Car,texte de base Car,Liste couleur - Accent 11 Car,Para T3 Car"/>
    <w:link w:val="Paragraphedeliste"/>
    <w:uiPriority w:val="34"/>
    <w:rsid w:val="00753237"/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1823</Words>
  <Characters>10029</Characters>
  <Application>Microsoft Office Word</Application>
  <DocSecurity>0</DocSecurity>
  <Lines>83</Lines>
  <Paragraphs>23</Paragraphs>
  <ScaleCrop>false</ScaleCrop>
  <Company/>
  <LinksUpToDate>false</LinksUpToDate>
  <CharactersWithSpaces>11829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COTTIN</dc:creator>
  <cp:keywords/>
  <dc:description/>
  <cp:lastModifiedBy>FICHET Nicolas</cp:lastModifiedBy>
  <cp:revision>6</cp:revision>
  <dcterms:created xsi:type="dcterms:W3CDTF">2025-07-05T05:32:00Z</dcterms:created>
  <dcterms:modified xsi:type="dcterms:W3CDTF">2025-07-09T08:54:00Z</dcterms:modified>
</cp:coreProperties>
</file>